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35" w:lineRule="atLeast"/>
        <w:jc w:val="center"/>
        <w:rPr>
          <w:rFonts w:hint="eastAsia" w:ascii="微软雅黑" w:hAnsi="微软雅黑" w:eastAsia="微软雅黑" w:cs="宋体"/>
          <w:color w:val="004D8E"/>
          <w:kern w:val="0"/>
          <w:sz w:val="35"/>
          <w:szCs w:val="35"/>
        </w:rPr>
      </w:pPr>
      <w:r>
        <w:rPr>
          <w:rFonts w:hint="eastAsia" w:ascii="微软雅黑" w:hAnsi="微软雅黑" w:eastAsia="微软雅黑" w:cs="宋体"/>
          <w:color w:val="004D8E"/>
          <w:kern w:val="0"/>
          <w:sz w:val="35"/>
          <w:szCs w:val="35"/>
        </w:rPr>
        <w:t>2016年</w:t>
      </w:r>
      <w:r>
        <w:rPr>
          <w:rFonts w:hint="eastAsia" w:ascii="微软雅黑" w:hAnsi="微软雅黑" w:eastAsia="微软雅黑" w:cs="宋体"/>
          <w:color w:val="004D8E"/>
          <w:kern w:val="0"/>
          <w:sz w:val="35"/>
          <w:szCs w:val="35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4D8E"/>
          <w:kern w:val="0"/>
          <w:sz w:val="35"/>
          <w:szCs w:val="35"/>
        </w:rPr>
        <w:t>月上海市邮政行业运行情况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月，上海市邮政企业和快递服务企业业务收入（不包括邮政储蓄银行直接营业收入）完成59.6亿元，同比增长55.7%；业务总量完成43.1亿元，同比增长55.2%。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1月，邮政函件业务完成8184.1万件，同比下降8.4%；包裹业务完成41万件，同比下降17.4%；报纸业务完成7692.3万份，同比下降6.2%；杂志业务完成253.2万份，同比下降5.8%；汇兑业务完成42.1万笔，同比下降8%。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月，快递服务企业业务量完成1.8亿件，同比增长51.2%；业务收入完成54.3亿元，同比增长62.4%。其中，同城业务收入完成5.1亿元，同比增长39.3%；异地业务收入完成12.8亿元，同比增长38.5%；国际及港澳台业务收入完成4.1亿元，同比增长11%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instrText xml:space="preserve">INCLUDEPICTURE \d "http://sh.spb.gov.cn/hytj1/201602/W020160222382862846364.gif"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7325" cy="2933700"/>
            <wp:effectExtent l="0" t="0" r="9525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2" w:leftChars="-95" w:right="0" w:hanging="199" w:hangingChars="95"/>
        <w:jc w:val="center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INCLUDEPICTURE \d "http://sh.spb.gov.cn/hytj1/201602/W020160222382862855781.gif"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514975" cy="2771775"/>
            <wp:effectExtent l="0" t="0" r="9525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月，同城、异地、国际及港澳台快递业务收入分别占全部快递收入的9.3%、23.6%和7.5%;业务量分别占全部快递业务量的35.2%、61.5%和3.3%。与上年同期相比，同城快递业务收入的比重下降1.5个百分点，异地快递业务收入的比重下降了4.1个百分点，国际及港澳台业务收入的比重下降了3.5个百分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leftChars="-400" w:right="0" w:hanging="84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257810</wp:posOffset>
            </wp:positionV>
            <wp:extent cx="3201670" cy="2214880"/>
            <wp:effectExtent l="0" t="0" r="17780" b="13970"/>
            <wp:wrapSquare wrapText="bothSides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INCLUDEPICTURE \d "http://sh.spb.gov.cn/hytj1/201602/W020160222382862851831.gif"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3082290" cy="2423795"/>
            <wp:effectExtent l="0" t="0" r="3810" b="1460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560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2016年1月，快递服务品牌集中度指数CR8为85.2,较2015年全年上升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8"/>
          <w:szCs w:val="28"/>
          <w:shd w:val="clear" w:fill="FFFFFF"/>
          <w:lang w:val="en-US" w:eastAsia="zh-CN" w:bidi="ar"/>
        </w:rPr>
        <w:t>了1.5。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40404"/>
          <w:spacing w:val="0"/>
          <w:kern w:val="0"/>
          <w:sz w:val="24"/>
          <w:szCs w:val="24"/>
          <w:shd w:val="clear" w:fill="FFFFFF"/>
          <w:lang w:val="en-US" w:eastAsia="zh-CN" w:bidi="ar"/>
        </w:rPr>
        <w:t>上海市邮政行业发展情况表</w:t>
      </w:r>
    </w:p>
    <w:tbl>
      <w:tblPr>
        <w:tblStyle w:val="3"/>
        <w:tblW w:w="847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1554"/>
        <w:gridCol w:w="1676"/>
        <w:gridCol w:w="237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指标名称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1月份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比去年同期增长(%)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一、邮政行业业务收入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亿元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其中：快递业务收入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亿元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54.3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62.4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二、邮政行业业务总量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亿元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43.1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55.2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其中：函件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万件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8184.1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-8.4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包裹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万件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41.0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-17.4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快递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万件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18590.7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51.2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订销报纸累计数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万份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7692.3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-6.2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订销杂志累计数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万份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253.2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-5.8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汇兑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lang w:val="en-US" w:eastAsia="zh-CN" w:bidi="ar"/>
              </w:rPr>
              <w:t>万笔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42.1</w:t>
            </w:r>
          </w:p>
        </w:tc>
        <w:tc>
          <w:tcPr>
            <w:tcW w:w="2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lang w:val="en-US" w:eastAsia="zh-CN" w:bidi="ar"/>
              </w:rPr>
              <w:t>-8.0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注：1.邮政行业业务总量计算使用2010年不变单价。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4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2.邮政行业业务收入中未包括邮政储蓄银行直接营业收入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仿宋_GB2312" w:hAnsi="宋体" w:eastAsia="仿宋_GB2312" w:cs="仿宋_GB2312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上海市快递服务企业业务量和业务收入情况表</w:t>
      </w:r>
    </w:p>
    <w:tbl>
      <w:tblPr>
        <w:tblpPr w:leftFromText="180" w:rightFromText="180" w:vertAnchor="text" w:horzAnchor="page" w:tblpXSpec="center" w:tblpY="370"/>
        <w:tblOverlap w:val="never"/>
        <w:tblW w:w="99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2581"/>
        <w:gridCol w:w="1649"/>
        <w:gridCol w:w="2270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1月快递业务量（万件）</w:t>
            </w:r>
          </w:p>
        </w:tc>
        <w:tc>
          <w:tcPr>
            <w:tcW w:w="16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同比增长（%）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1月快递收入（万元）</w:t>
            </w:r>
          </w:p>
        </w:tc>
        <w:tc>
          <w:tcPr>
            <w:tcW w:w="1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同比增长（%）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18590.7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543151.1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浦东新区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2596.8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36517.0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黄浦区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406.8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30.4%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10011.5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虹口区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227.8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19.4%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1893.8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杨浦区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316.4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3493.3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静安区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245.1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-64.3%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4404.5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-55.8%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240.1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11.2%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11631.5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1112.0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10599.2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闸北区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661.2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5932.6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崇明县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青浦区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4139.9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362800.9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嘉定区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2474.5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204.2%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21017.9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410.2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3222.7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松江区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2387.1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17660.2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闵行区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2178.0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22.8%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43708.6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徐汇区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327.2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2866.2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金山区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231.7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2144.7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奉贤区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576.0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106.2%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4598.2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4040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67.0%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left"/>
        <w:rPr>
          <w:rFonts w:hint="eastAsia"/>
          <w:szCs w:val="21"/>
        </w:rPr>
      </w:pPr>
    </w:p>
    <w:p>
      <w:pPr>
        <w:ind w:firstLine="420"/>
        <w:jc w:val="center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0916"/>
    <w:rsid w:val="1D6D0916"/>
    <w:rsid w:val="2BF4188E"/>
    <w:rsid w:val="534E0304"/>
    <w:rsid w:val="5B046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2016-10-10T02:00:00Z</dcterms:created>
  <dc:creator>Hulean</dc:creator>
  <cp:lastModifiedBy>hulean_2</cp:lastModifiedBy>
  <cp:lastPrinted>2017-06-14T07:51:02Z</cp:lastPrinted>
  <dcterms:modified xsi:type="dcterms:W3CDTF">2017-06-14T07:52:10Z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